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52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  <w:bookmarkStart w:id="0" w:name="_Hlk129427570"/>
    </w:p>
    <w:p>
      <w:pPr>
        <w:suppressAutoHyphens/>
        <w:spacing w:line="552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uppressAutoHyphens/>
        <w:spacing w:line="552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1" w:name="_GoBack"/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四川省第二届智力运动会围棋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eastAsia="zh-CN"/>
        </w:rPr>
        <w:t>比赛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报名表</w:t>
      </w:r>
      <w:bookmarkEnd w:id="0"/>
    </w:p>
    <w:bookmarkEnd w:id="1"/>
    <w:tbl>
      <w:tblPr>
        <w:tblStyle w:val="3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5"/>
        <w:gridCol w:w="993"/>
        <w:gridCol w:w="2182"/>
        <w:gridCol w:w="840"/>
        <w:gridCol w:w="1786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4"/>
              </w:rPr>
              <w:t>组别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4"/>
              </w:rPr>
              <w:t>运动员姓名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4"/>
              </w:rPr>
              <w:t>性别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4"/>
              </w:rPr>
              <w:t>身份证号码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4"/>
              </w:rPr>
              <w:t>段位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4"/>
              </w:rPr>
              <w:t>四川省业余等级分（全民团体、公开组）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领队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教练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教练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全民团体组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第一台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第二台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第三台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第四台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第五台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公开组男子个人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公开组女子个人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公开组中老年个人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青少年甲组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青少年乙组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青少年丙组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</w:tbl>
    <w:p>
      <w:pPr>
        <w:suppressAutoHyphens/>
        <w:rPr>
          <w:rFonts w:hint="default" w:ascii="Times New Roman" w:hAnsi="Times New Roman" w:cs="Times New Roman"/>
          <w:szCs w:val="2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 xml:space="preserve">联系人：                      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电  话：</w:t>
      </w:r>
    </w:p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单位（盖章）：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    </w:t>
      </w:r>
    </w:p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填报时间：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F0EA1"/>
    <w:rsid w:val="1D247334"/>
    <w:rsid w:val="2B4F0EA1"/>
    <w:rsid w:val="334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0"/>
      <w:lang w:val="en-US" w:eastAsia="zh-CN" w:bidi="ar-SA"/>
    </w:rPr>
  </w:style>
  <w:style w:type="paragraph" w:customStyle="1" w:styleId="5">
    <w:name w:val="列表段落1"/>
    <w:qFormat/>
    <w:uiPriority w:val="34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2023-03-22T11:58:00Z</dcterms:created>
  <dc:creator>Administrator</dc:creator>
  <cp:lastModifiedBy>Administrator</cp:lastModifiedBy>
  <dcterms:modified xsi:type="dcterms:W3CDTF">2023-03-22T12:01:45Z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19C38E4726A1487AB7D6ACEA11420262</vt:lpwstr>
  </property>
</Properties>
</file>