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52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四川省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射击射箭运动管理中心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选招省优秀运动员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岗位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和条件要求一览表</w:t>
      </w:r>
    </w:p>
    <w:tbl>
      <w:tblPr>
        <w:tblStyle w:val="5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869"/>
        <w:gridCol w:w="810"/>
        <w:gridCol w:w="1402"/>
        <w:gridCol w:w="1475"/>
        <w:gridCol w:w="1537"/>
        <w:gridCol w:w="3430"/>
        <w:gridCol w:w="812"/>
        <w:gridCol w:w="847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选招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选招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选招人数</w:t>
            </w:r>
          </w:p>
        </w:tc>
        <w:tc>
          <w:tcPr>
            <w:tcW w:w="78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  <w:t>其他条件要求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集训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试训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比例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运动员技术等级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比赛成绩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拟选招项目人数</w:t>
            </w: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四川省射击射箭运动管理中心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射击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年1月1日至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年1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eastAsia="zh-CN"/>
              </w:rPr>
              <w:t>1日期间出生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二级及以上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全国及以上比赛成绩前8名或省级最高水平比赛前3名。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女子50米小口径步枪三姿项目2名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女子10米气步枪项目1名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男子10米气步枪项目2名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男子飞碟多向项目1名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男子飞碟双向项目2名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满足运动员技术等级或比赛成绩其中一项即可报名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1"/>
                <w:szCs w:val="21"/>
                <w:vertAlign w:val="baselin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射箭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eastAsia="zh-CN"/>
              </w:rPr>
              <w:t>年1月1日至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eastAsia="zh-CN"/>
              </w:rPr>
              <w:t>年1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eastAsia="zh-CN"/>
              </w:rPr>
              <w:t>1日期间出生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二级及以上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highlight w:val="none"/>
                <w:vertAlign w:val="baseline"/>
                <w:lang w:val="en-US" w:eastAsia="zh-CN"/>
              </w:rPr>
              <w:t>女子反曲弓项目1名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vertAlign w:val="baseline"/>
              </w:rPr>
              <w:t>满足运动员技术等级或比赛成绩其中一项即可报名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C3660"/>
    <w:rsid w:val="156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2025-09-29T07:45:00Z</dcterms:created>
  <dc:creator>SZTY-04</dc:creator>
  <cp:lastModifiedBy>SZTY-04</cp:lastModifiedBy>
  <dcterms:modified xsi:type="dcterms:W3CDTF">2025-09-29T07:46:29Z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